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Aptos Display" w:hAnsi="Aptos Display"/>
          <w:b/>
          <w:color w:val="1F4E79"/>
          <w:sz w:val="40"/>
        </w:rPr>
        <w:t>ORION – progi oceny parametrów</w:t>
        <w:br/>
      </w:r>
      <w:r>
        <w:rPr>
          <w:i/>
          <w:color w:val="606060"/>
          <w:sz w:val="22"/>
        </w:rPr>
        <w:t>Wkład do RAG / dokument roboczy do polityki statusów operacyjnych</w:t>
      </w:r>
    </w:p>
    <w:tbl>
      <w:tblPr>
        <w:tblStyle w:val="TableGrid"/>
        <w:tblW w:w="9746" w:type="dxa"/>
        <w:jc w:val="center"/>
        <w:tblInd w:w="0" w:type="dxa"/>
        <w:tblLayout w:type="fixed"/>
        <w:tblCellMar>
          <w:top w:w="80" w:type="dxa"/>
          <w:left w:w="110" w:type="dxa"/>
          <w:bottom w:w="80" w:type="dxa"/>
          <w:right w:w="110" w:type="dxa"/>
        </w:tblCellMar>
        <w:tblLook w:val="04a0" w:noHBand="0" w:noVBand="1" w:firstColumn="1" w:lastRow="0" w:lastColumn="0" w:firstRow="1"/>
      </w:tblPr>
      <w:tblGrid>
        <w:gridCol w:w="9746"/>
      </w:tblGrid>
      <w:tr>
        <w:trPr/>
        <w:tc>
          <w:tcPr>
            <w:tcW w:w="974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EEF4FB"/>
            <w:vAlign w:val="center"/>
          </w:tcPr>
          <w:p>
            <w:pPr>
              <w:pStyle w:val="Normal"/>
              <w:widowControl/>
              <w:spacing w:lineRule="auto" w:line="264" w:before="4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1"/>
                <w:szCs w:val="22"/>
                <w:lang w:val="en-US" w:eastAsia="en-US" w:bidi="ar-SA"/>
              </w:rPr>
              <w:t>Cel dokumentu: zdefiniowanie prostych, jednoznacznych progów oceny stanu dla telemetrii, tak aby agent LLM mógł odwoływać się do stabilnych statusów „gotowy”, „ograniczona zdolność” i „niegotowy”. Progi poniżej są sformatowane tak, aby mogły trafić do RAG jako wiedza opisowa oraz równolegle zostać odwzorowane w kodzie deterministycznym.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rFonts w:ascii="Aptos" w:hAnsi="Aptos"/>
          <w:color w:val="1F4E79"/>
        </w:rPr>
        <w:t>1. Skala statusów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gotowy – parametr jest w zakresie akceptowalnym do normalnej pracy obiektu.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ograniczona zdolność – parametr odbiega od optimum; obiekt może działać, ale z ryzykiem pogorszenia komfortu lub wydajności.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niegotowy – parametr istotnie odbiega od wymagań; stan może uniemożliwiać bezpieczną lub skuteczną eksploatację.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Przy agregacji wielu odczytów lub wielu faz należy przyjmować wynik najgorszy (worst case).</w:t>
      </w:r>
    </w:p>
    <w:p>
      <w:pPr>
        <w:pStyle w:val="Heading1"/>
        <w:rPr/>
      </w:pPr>
      <w:r>
        <w:rPr>
          <w:rFonts w:ascii="Aptos" w:hAnsi="Aptos"/>
          <w:color w:val="1F4E79"/>
        </w:rPr>
        <w:t>2. Parametry środowiskowe w pomieszczeniu</w:t>
      </w:r>
    </w:p>
    <w:p>
      <w:pPr>
        <w:pStyle w:val="BodyText"/>
        <w:spacing w:lineRule="auto" w:line="276" w:before="0" w:after="120"/>
        <w:rPr/>
      </w:pPr>
      <w:r>
        <w:rPr>
          <w:b w:val="false"/>
          <w:sz w:val="21"/>
        </w:rPr>
        <w:t>Zakresy poniżej są przeznaczone do oceny operacyjnej pomieszczeń użytkowanych przez ludzi. CO₂ i temperatura bazują na dostarczonej logice. Wilgotność została dodana jako praktyczny próg eksploatacyjny do komfortu i ograniczenia ryzyka zawilgocenia / przesuszenia.</w:t>
      </w:r>
    </w:p>
    <w:tbl>
      <w:tblPr>
        <w:tblStyle w:val="TableGrid"/>
        <w:tblW w:w="9746" w:type="dxa"/>
        <w:jc w:val="center"/>
        <w:tblInd w:w="0" w:type="dxa"/>
        <w:tblLayout w:type="fixed"/>
        <w:tblCellMar>
          <w:top w:w="80" w:type="dxa"/>
          <w:left w:w="110" w:type="dxa"/>
          <w:bottom w:w="80" w:type="dxa"/>
          <w:right w:w="110" w:type="dxa"/>
        </w:tblCellMar>
        <w:tblLook w:val="04a0" w:noHBand="0" w:noVBand="1" w:firstColumn="1" w:lastRow="0" w:lastColumn="0" w:firstRow="1"/>
      </w:tblPr>
      <w:tblGrid>
        <w:gridCol w:w="1949"/>
        <w:gridCol w:w="1949"/>
        <w:gridCol w:w="1949"/>
        <w:gridCol w:w="1949"/>
        <w:gridCol w:w="1950"/>
      </w:tblGrid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Parametr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Jednostka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Gotowy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Ograniczona zdolność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Niegotowy</w:t>
            </w:r>
          </w:p>
        </w:tc>
      </w:tr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CO₂ w pomieszczeniu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ppm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0–1500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1501–4999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&gt;=5000 lub brak wiarygodnego odczytu krytycznego parametru</w:t>
            </w:r>
          </w:p>
        </w:tc>
      </w:tr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Temperatura w pomieszczeniu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°C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19–25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17–&lt;19 lub &gt;25–27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&lt;17 lub &gt;27</w:t>
            </w:r>
          </w:p>
        </w:tc>
      </w:tr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Wilgotność względna w pomieszczeniu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% RH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40–60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30–&lt;40 lub &gt;60–70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&lt;30 lub &gt;70</w:t>
            </w:r>
          </w:p>
        </w:tc>
      </w:tr>
    </w:tbl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CO₂: przekroczenie zakresu „gotowy” oznacza rosnącą potrzebę wentylacji; bardzo wysokie wartości powinny być traktowane jako sygnał operacyjny wysokiego priorytetu.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Temperatura: zakres 19–25 °C odzwierciedla prosty zakres komfortu do oceny gotowości pomieszczeń.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Wilgotność: zakres 40–60% RH jest proponowanym zakresem docelowym; przy wdrożeniu można go lokalnie skorygować dla konkretnego typu obiektu.</w:t>
      </w:r>
    </w:p>
    <w:p>
      <w:pPr>
        <w:pStyle w:val="Heading1"/>
        <w:rPr/>
      </w:pPr>
      <w:r>
        <w:rPr>
          <w:rFonts w:ascii="Aptos" w:hAnsi="Aptos"/>
          <w:color w:val="1F4E79"/>
        </w:rPr>
        <w:t>3. Zasilanie elektryczne – napięcie przyłącza</w:t>
      </w:r>
    </w:p>
    <w:p>
      <w:pPr>
        <w:pStyle w:val="BodyText"/>
        <w:spacing w:lineRule="auto" w:line="276" w:before="0" w:after="120"/>
        <w:rPr/>
      </w:pPr>
      <w:r>
        <w:rPr>
          <w:b w:val="false"/>
          <w:sz w:val="21"/>
        </w:rPr>
        <w:t>Ocena ma być wykonywana osobno dla każdej dostępnej fazy, a następnie agregowana przez wynik najgorszy. Progi niżej są zgodne z dostarczoną funkcją _electricity_level().</w:t>
      </w:r>
    </w:p>
    <w:tbl>
      <w:tblPr>
        <w:tblStyle w:val="TableGrid"/>
        <w:tblW w:w="9746" w:type="dxa"/>
        <w:jc w:val="center"/>
        <w:tblInd w:w="0" w:type="dxa"/>
        <w:tblLayout w:type="fixed"/>
        <w:tblCellMar>
          <w:top w:w="80" w:type="dxa"/>
          <w:left w:w="110" w:type="dxa"/>
          <w:bottom w:w="80" w:type="dxa"/>
          <w:right w:w="110" w:type="dxa"/>
        </w:tblCellMar>
        <w:tblLook w:val="04a0" w:noHBand="0" w:noVBand="1" w:firstColumn="1" w:lastRow="0" w:lastColumn="0" w:firstRow="1"/>
      </w:tblPr>
      <w:tblGrid>
        <w:gridCol w:w="1949"/>
        <w:gridCol w:w="1949"/>
        <w:gridCol w:w="1949"/>
        <w:gridCol w:w="1949"/>
        <w:gridCol w:w="1950"/>
      </w:tblGrid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Parametr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Jednostka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Gotowy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Ograniczona zdolność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Niegotowy</w:t>
            </w:r>
          </w:p>
        </w:tc>
      </w:tr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Napięcie fazowe L1 / L2 / L3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V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210–250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200–&lt;210 lub &gt;250–260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&lt;200 lub &gt;260</w:t>
            </w:r>
          </w:p>
        </w:tc>
      </w:tr>
    </w:tbl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Jeżeli dostępny jest tylko jeden odczyt napięcia, ocena dotyczy tego jednego toru pomiarowego.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Jeżeli co najmniej jedna faza jest „niegotowy”, cały stan zasilania powinien być „niegotowy”.</w:t>
      </w:r>
    </w:p>
    <w:p>
      <w:pPr>
        <w:pStyle w:val="Heading1"/>
        <w:rPr/>
      </w:pPr>
      <w:r>
        <w:rPr>
          <w:rFonts w:ascii="Aptos" w:hAnsi="Aptos"/>
          <w:color w:val="1F4E79"/>
        </w:rPr>
        <w:t>4. Parametry pracy pompy ciepła</w:t>
      </w:r>
    </w:p>
    <w:p>
      <w:pPr>
        <w:pStyle w:val="BodyText"/>
        <w:spacing w:lineRule="auto" w:line="276" w:before="0" w:after="120"/>
        <w:rPr/>
      </w:pPr>
      <w:r>
        <w:rPr>
          <w:b w:val="false"/>
          <w:sz w:val="21"/>
        </w:rPr>
        <w:t>Poniższe progi dzielą się na część podstawową i część rozszerzoną. Część podstawowa wynika bezpośrednio z dostarczonej logiki. Część rozszerzona jest propozycją do wykorzystania wtedy, gdy takie sygnały rzeczywiście są dostępne w telemetrii.</w:t>
      </w:r>
    </w:p>
    <w:p>
      <w:pPr>
        <w:pStyle w:val="Heading2"/>
        <w:rPr/>
      </w:pPr>
      <w:r>
        <w:rPr>
          <w:rFonts w:ascii="Aptos" w:hAnsi="Aptos"/>
          <w:color w:val="2F5496"/>
        </w:rPr>
        <w:t>4.1. Progi podstawowe – minimalny wariant do wdrożenia</w:t>
      </w:r>
    </w:p>
    <w:tbl>
      <w:tblPr>
        <w:tblStyle w:val="TableGrid"/>
        <w:tblW w:w="9746" w:type="dxa"/>
        <w:jc w:val="center"/>
        <w:tblInd w:w="0" w:type="dxa"/>
        <w:tblLayout w:type="fixed"/>
        <w:tblCellMar>
          <w:top w:w="80" w:type="dxa"/>
          <w:left w:w="110" w:type="dxa"/>
          <w:bottom w:w="80" w:type="dxa"/>
          <w:right w:w="110" w:type="dxa"/>
        </w:tblCellMar>
        <w:tblLook w:val="04a0" w:noHBand="0" w:noVBand="1" w:firstColumn="1" w:lastRow="0" w:lastColumn="0" w:firstRow="1"/>
      </w:tblPr>
      <w:tblGrid>
        <w:gridCol w:w="1949"/>
        <w:gridCol w:w="1949"/>
        <w:gridCol w:w="1949"/>
        <w:gridCol w:w="1949"/>
        <w:gridCol w:w="1950"/>
      </w:tblGrid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Parametr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Jednostka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Gotowy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Ograniczona zdolność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DCE6F1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Niegotowy</w:t>
            </w:r>
          </w:p>
        </w:tc>
      </w:tr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Temperatura zasilania obiegu grzewczego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°C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&gt;35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30–&lt;35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&lt;30</w:t>
            </w:r>
          </w:p>
        </w:tc>
      </w:tr>
      <w:tr>
        <w:trPr/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Ciśnienie wody w instalacji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bar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&gt;=1,9</w:t>
            </w:r>
          </w:p>
        </w:tc>
        <w:tc>
          <w:tcPr>
            <w:tcW w:w="1949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1,5–&lt;1,9</w:t>
            </w:r>
          </w:p>
        </w:tc>
        <w:tc>
          <w:tcPr>
            <w:tcW w:w="195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&lt;1,5</w:t>
            </w:r>
          </w:p>
        </w:tc>
      </w:tr>
    </w:tbl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Temperatura zasilania jest tu użyta jako prosty zastępnik dostępnej mocy cieplnej: im niższa, tym niższa zdolność do ogrzania obiektu.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Ciśnienie wody należy rozumieć jako parametr dostępności i stabilności obiegu / instalacji.</w:t>
      </w:r>
    </w:p>
    <w:p>
      <w:pPr>
        <w:pStyle w:val="Heading2"/>
        <w:rPr/>
      </w:pPr>
      <w:r>
        <w:rPr>
          <w:rFonts w:ascii="Aptos" w:hAnsi="Aptos"/>
          <w:color w:val="2F5496"/>
        </w:rPr>
        <w:t>4.2. Progi rozszerzone – jeśli telemetria je udostępnia</w:t>
      </w:r>
    </w:p>
    <w:tbl>
      <w:tblPr>
        <w:tblStyle w:val="TableGrid"/>
        <w:tblW w:w="9744" w:type="dxa"/>
        <w:jc w:val="center"/>
        <w:tblInd w:w="0" w:type="dxa"/>
        <w:tblLayout w:type="fixed"/>
        <w:tblCellMar>
          <w:top w:w="80" w:type="dxa"/>
          <w:left w:w="110" w:type="dxa"/>
          <w:bottom w:w="80" w:type="dxa"/>
          <w:right w:w="110" w:type="dxa"/>
        </w:tblCellMar>
        <w:tblLook w:val="04a0" w:noHBand="0" w:noVBand="1" w:firstColumn="1" w:lastRow="0" w:lastColumn="0" w:firstRow="1"/>
      </w:tblPr>
      <w:tblGrid>
        <w:gridCol w:w="1624"/>
        <w:gridCol w:w="1623"/>
        <w:gridCol w:w="1625"/>
        <w:gridCol w:w="1624"/>
        <w:gridCol w:w="1623"/>
        <w:gridCol w:w="1624"/>
      </w:tblGrid>
      <w:tr>
        <w:trPr/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EAF2E3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Parametr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EAF2E3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Znaczenie operacyjne</w:t>
            </w:r>
          </w:p>
        </w:tc>
        <w:tc>
          <w:tcPr>
            <w:tcW w:w="162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EAF2E3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Jednostka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EAF2E3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Gotowy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EAF2E3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Ograniczona zdolność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EAF2E3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Niegotowy</w:t>
            </w:r>
          </w:p>
        </w:tc>
      </w:tr>
      <w:tr>
        <w:trPr/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Różnica temperatur zasilanie–powrót (ΔT)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Czy obieg realnie odbiera / oddaje ciepło</w:t>
            </w:r>
          </w:p>
        </w:tc>
        <w:tc>
          <w:tcPr>
            <w:tcW w:w="162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K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3–10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2–&lt;3 lub &gt;10–15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&lt;2 lub &gt;15</w:t>
            </w:r>
          </w:p>
        </w:tc>
      </w:tr>
      <w:tr>
        <w:trPr/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Temperatura powrotu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Pomocnicza ocena obciążenia instalacji</w:t>
            </w:r>
          </w:p>
        </w:tc>
        <w:tc>
          <w:tcPr>
            <w:tcW w:w="162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°C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25–35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20–&lt;25 lub &gt;35–40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&lt;20 lub &gt;40</w:t>
            </w:r>
          </w:p>
        </w:tc>
      </w:tr>
      <w:tr>
        <w:trPr/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Aktywny alarm / błąd pompy ciepła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Dostępność urządzenia</w:t>
            </w:r>
          </w:p>
        </w:tc>
        <w:tc>
          <w:tcPr>
            <w:tcW w:w="162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stan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brak aktywnych alarmów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ostrzeżenie nieblokujące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alarm blokujący pracę</w:t>
            </w:r>
          </w:p>
        </w:tc>
      </w:tr>
      <w:tr>
        <w:trPr/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Liczba startów sprężarki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Ocena taktowania / niestabilnej pracy</w:t>
            </w:r>
          </w:p>
        </w:tc>
        <w:tc>
          <w:tcPr>
            <w:tcW w:w="162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start/h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&lt;=6</w:t>
            </w:r>
          </w:p>
        </w:tc>
        <w:tc>
          <w:tcPr>
            <w:tcW w:w="1623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7–10</w:t>
            </w:r>
          </w:p>
        </w:tc>
        <w:tc>
          <w:tcPr>
            <w:tcW w:w="1624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&gt;10</w:t>
            </w:r>
          </w:p>
        </w:tc>
      </w:tr>
    </w:tbl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Jeżeli nie masz pewności, że dany parametr jest mierzalny i poprawnie nazwany w źródle danych, nie należy go interpretować przez LLM „na oko”.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W wariancie minimalnym do statusu pompy ciepła wystarczą dwa filary: temperatura zasilania oraz ciśnienie wody. Parametry rozszerzone warto włączyć dopiero po potwierdzeniu jakości telemetrii.</w:t>
      </w:r>
    </w:p>
    <w:p>
      <w:pPr>
        <w:pStyle w:val="Heading1"/>
        <w:rPr/>
      </w:pPr>
      <w:r>
        <w:rPr>
          <w:rFonts w:ascii="Aptos" w:hAnsi="Aptos"/>
          <w:color w:val="1F4E79"/>
        </w:rPr>
        <w:t>5. Inne parametry, które warto objąć statusem</w:t>
      </w:r>
    </w:p>
    <w:p>
      <w:pPr>
        <w:pStyle w:val="BodyText"/>
        <w:spacing w:lineRule="auto" w:line="276" w:before="0" w:after="120"/>
        <w:rPr/>
      </w:pPr>
      <w:r>
        <w:rPr>
          <w:b w:val="false"/>
          <w:sz w:val="21"/>
        </w:rPr>
        <w:t>Ta sekcja ma charakter pomocniczy. Nie musi wejść do pierwszej wersji implementacji, ale dobrze nadaje się do RAG jako katalog możliwych rozszerzeń.</w:t>
      </w:r>
    </w:p>
    <w:tbl>
      <w:tblPr>
        <w:tblStyle w:val="TableGrid"/>
        <w:tblW w:w="9744" w:type="dxa"/>
        <w:jc w:val="center"/>
        <w:tblInd w:w="0" w:type="dxa"/>
        <w:tblLayout w:type="fixed"/>
        <w:tblCellMar>
          <w:top w:w="80" w:type="dxa"/>
          <w:left w:w="110" w:type="dxa"/>
          <w:bottom w:w="80" w:type="dxa"/>
          <w:right w:w="110" w:type="dxa"/>
        </w:tblCellMar>
        <w:tblLook w:val="04a0" w:noHBand="0" w:noVBand="1" w:firstColumn="1" w:lastRow="0" w:lastColumn="0" w:firstRow="1"/>
      </w:tblPr>
      <w:tblGrid>
        <w:gridCol w:w="2436"/>
        <w:gridCol w:w="2436"/>
        <w:gridCol w:w="2436"/>
        <w:gridCol w:w="2435"/>
      </w:tblGrid>
      <w:tr>
        <w:trPr/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FCE4D6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Parametr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FCE4D6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Dlaczego warto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FCE4D6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Minimalny status</w:t>
            </w:r>
          </w:p>
        </w:tc>
        <w:tc>
          <w:tcPr>
            <w:tcW w:w="243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fill="FCE4D6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Uwagi</w:t>
            </w:r>
          </w:p>
        </w:tc>
      </w:tr>
      <w:tr>
        <w:trPr/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Dostępność łączności z urządzeniem / gatewayem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Bez danych nie da się wiarygodnie ocenić stanu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online / offline</w:t>
            </w:r>
          </w:p>
        </w:tc>
        <w:tc>
          <w:tcPr>
            <w:tcW w:w="243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Brak telemetrii krytycznego źródła można mapować na „niegotowy” lub „nieznane” – zależnie od polityki systemu.</w:t>
            </w:r>
          </w:p>
        </w:tc>
      </w:tr>
      <w:tr>
        <w:trPr/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Jakość powietrza – TVOC / pyły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Rozszerzenie oceny środowiska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progi lokalne</w:t>
            </w:r>
          </w:p>
        </w:tc>
        <w:tc>
          <w:tcPr>
            <w:tcW w:w="243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Warto wdrażać dopiero po potwierdzeniu typu czujnika i jednostek.</w:t>
            </w:r>
          </w:p>
        </w:tc>
      </w:tr>
      <w:tr>
        <w:trPr/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Przepływ wody / obiegu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Pomaga odróżnić awarię źródła od problemu hydraulicznego</w:t>
            </w:r>
          </w:p>
        </w:tc>
        <w:tc>
          <w:tcPr>
            <w:tcW w:w="243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brak / niski / poprawny</w:t>
            </w:r>
          </w:p>
        </w:tc>
        <w:tc>
          <w:tcPr>
            <w:tcW w:w="243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Dobry kandydat do wersji 2, jeżeli czujnik przepływu istnieje.</w:t>
            </w:r>
          </w:p>
        </w:tc>
      </w:tr>
    </w:tbl>
    <w:p>
      <w:pPr>
        <w:pStyle w:val="Heading1"/>
        <w:rPr/>
      </w:pPr>
      <w:r>
        <w:rPr>
          <w:rFonts w:ascii="Aptos" w:hAnsi="Aptos"/>
          <w:color w:val="1F4E79"/>
        </w:rPr>
        <w:t>6. Reguły interpretacji dla agenta LLM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Agent powinien używać statusów opisowych jako źródła odpowiedzi, a nie samodzielnie wymyślać progi w locie.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Jeżeli dla jednego obszaru istnieje kilka odczytów, należy przyjmować wynik najgorszy.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Jeżeli brakuje odczytów dla parametru krytycznego, należy to jasno zakomunikować. W implementacji deterministycznej można taki brak mapować na „niegotowy” albo „nieznane”; w dostarczonym kodzie domyślnie użyto „niegotowy”.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W odpowiedzi użytkowej warto rozdzielać: stan ogólny, parametry pogarszające gotowość oraz 2–3 najważniejsze powody ograniczeń.</w:t>
      </w:r>
    </w:p>
    <w:p>
      <w:pPr>
        <w:pStyle w:val="Heading1"/>
        <w:rPr/>
      </w:pPr>
      <w:r>
        <w:rPr>
          <w:rFonts w:ascii="Aptos" w:hAnsi="Aptos"/>
          <w:color w:val="1F4E79"/>
        </w:rPr>
        <w:t>7. Minimalna mapa do implementacji</w:t>
      </w:r>
    </w:p>
    <w:p>
      <w:pPr>
        <w:pStyle w:val="BodyText"/>
        <w:spacing w:lineRule="auto" w:line="276" w:before="0" w:after="120"/>
        <w:rPr/>
      </w:pPr>
      <w:r>
        <w:rPr>
          <w:b w:val="false"/>
          <w:sz w:val="21"/>
        </w:rPr>
        <w:t>Poniższy zestaw jest najbezpieczniejszą pierwszą wersją do wdrożenia: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powietrze: CO₂, temperatura, wilgotność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energia: napięcie L1 / L2 / L3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hydraulika: ciśnienie wody</w:t>
      </w:r>
    </w:p>
    <w:p>
      <w:pPr>
        <w:pStyle w:val="ListBullet"/>
        <w:numPr>
          <w:ilvl w:val="0"/>
          <w:numId w:val="1"/>
        </w:numPr>
        <w:spacing w:lineRule="auto" w:line="264" w:before="0" w:after="40"/>
        <w:contextualSpacing/>
        <w:rPr/>
      </w:pPr>
      <w:r>
        <w:rPr>
          <w:sz w:val="21"/>
        </w:rPr>
        <w:t>ogrzewanie: temperatura zasilania obiegu grzewczego</w:t>
      </w:r>
    </w:p>
    <w:p>
      <w:pPr>
        <w:pStyle w:val="BodyText"/>
        <w:spacing w:lineRule="auto" w:line="276" w:before="0" w:after="120"/>
        <w:rPr>
          <w:i/>
          <w:i/>
          <w:color w:val="606060"/>
          <w:sz w:val="18"/>
        </w:rPr>
      </w:pPr>
      <w:r>
        <w:rPr>
          <w:b w:val="false"/>
          <w:sz w:val="21"/>
        </w:rPr>
        <w:t>To daje prosty, spójny model statusu: środowisko w pomieszczeniu + zasilanie + woda + zdolność grzewcza.</w:t>
      </w:r>
    </w:p>
    <w:sectPr>
      <w:type w:val="nextPage"/>
      <w:pgSz w:w="12240" w:h="15840"/>
      <w:pgMar w:left="1247" w:right="1247" w:gutter="0" w:header="0" w:top="1134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ptos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ptos Display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Aptos" w:hAnsi="Aptos" w:eastAsia="ＭＳ 明朝" w:cs="" w:cstheme="minorBidi" w:eastAsiaTheme="minorEastAsia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>
      <w:rFonts w:ascii="Aptos" w:hAnsi="Aptos"/>
      <w:sz w:val="21"/>
    </w:rPr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4</Pages>
  <Words>823</Words>
  <Characters>4989</Characters>
  <CharactersWithSpaces>5641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2026-03-12T14:33:54Z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